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pPr w:leftFromText="180" w:rightFromText="180" w:vertAnchor="page" w:horzAnchor="page" w:tblpX="2849" w:tblpY="2338"/>
        <w:tblOverlap w:val="never"/>
        <w:tblW w:w="6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5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供给侧改革背景下的中国动漫产业现状分析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TRANS个人形象工程打造机构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艺术类众创空间运营模式调研——以海尔创客实验室为例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对漫画产业商业模式的探究以《知音漫客》为例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自媒体背景下“网红”营销对策及问题研究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2016年大创项目中韩新媒体学院答辩会初评通过名单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C54AB"/>
    <w:rsid w:val="38FC54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2016-04-22T08:42:00Z</dcterms:created>
  <dc:creator>鲁雯</dc:creator>
  <cp:lastModifiedBy>鲁雯</cp:lastModifiedBy>
  <dcterms:modified xsi:type="dcterms:W3CDTF">2016-04-22T08:44:05Z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